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02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122"/>
        <w:gridCol w:w="874"/>
        <w:gridCol w:w="1276"/>
        <w:gridCol w:w="257"/>
        <w:gridCol w:w="1275"/>
        <w:gridCol w:w="172"/>
        <w:gridCol w:w="706"/>
        <w:gridCol w:w="28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6500" w:type="dxa"/>
            <w:gridSpan w:val="6"/>
            <w:vAlign w:val="center"/>
          </w:tcPr>
          <w:p>
            <w:pPr>
              <w:pStyle w:val="13"/>
            </w:pPr>
            <w:bookmarkStart w:id="0" w:name="_GoBack"/>
            <w:bookmarkEnd w:id="0"/>
          </w:p>
        </w:tc>
        <w:tc>
          <w:tcPr>
            <w:tcW w:w="3701" w:type="dxa"/>
            <w:gridSpan w:val="3"/>
            <w:vAlign w:val="center"/>
          </w:tcPr>
          <w:p>
            <w:pPr>
              <w:pStyle w:val="15"/>
              <w:ind w:left="-262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696" w:type="dxa"/>
            <w:vAlign w:val="center"/>
          </w:tcPr>
          <w:p>
            <w:pPr>
              <w:pStyle w:val="16"/>
            </w:pPr>
          </w:p>
        </w:tc>
        <w:tc>
          <w:tcPr>
            <w:tcW w:w="8505" w:type="dxa"/>
            <w:gridSpan w:val="8"/>
            <w:vAlign w:val="center"/>
          </w:tcPr>
          <w:p>
            <w:pPr>
              <w:pStyle w:val="16"/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4968" w:type="dxa"/>
            <w:gridSpan w:val="4"/>
            <w:vAlign w:val="center"/>
          </w:tcPr>
          <w:p>
            <w:pPr>
              <w:pStyle w:val="16"/>
            </w:pPr>
          </w:p>
        </w:tc>
        <w:tc>
          <w:tcPr>
            <w:tcW w:w="5233" w:type="dxa"/>
            <w:gridSpan w:val="5"/>
            <w:vAlign w:val="center"/>
          </w:tcPr>
          <w:p>
            <w:pPr>
              <w:pStyle w:val="16"/>
              <w:ind w:left="-262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4" w:hRule="atLeast"/>
        </w:trPr>
        <w:tc>
          <w:tcPr>
            <w:tcW w:w="10201" w:type="dxa"/>
            <w:gridSpan w:val="9"/>
            <w:vAlign w:val="center"/>
          </w:tcPr>
          <w:p>
            <w:pPr>
              <w:pStyle w:val="18"/>
              <w:rPr>
                <w:caps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Заполнение формы </w:t>
            </w:r>
            <w:r>
              <w:rPr>
                <w:caps w:val="0"/>
                <w:sz w:val="40"/>
                <w:szCs w:val="40"/>
              </w:rPr>
              <w:t>0503128-НП,</w:t>
            </w:r>
          </w:p>
          <w:p>
            <w:pPr>
              <w:pStyle w:val="18"/>
            </w:pPr>
            <w:r>
              <w:rPr>
                <w:sz w:val="40"/>
                <w:szCs w:val="40"/>
              </w:rPr>
              <w:t>действующая с 1 октября 2019 г.</w:t>
            </w:r>
          </w:p>
          <w:p>
            <w:pPr>
              <w:pStyle w:val="14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01" w:type="dxa"/>
            <w:gridSpan w:val="9"/>
            <w:vAlign w:val="center"/>
          </w:tcPr>
          <w:p>
            <w:pPr>
              <w:pStyle w:val="20"/>
              <w:rPr>
                <w:szCs w:val="32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92" w:type="dxa"/>
            <w:gridSpan w:val="3"/>
            <w:vAlign w:val="center"/>
          </w:tcPr>
          <w:p>
            <w:pPr>
              <w:pStyle w:val="16"/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pStyle w:val="16"/>
              <w:ind w:left="-2628"/>
            </w:pPr>
          </w:p>
        </w:tc>
        <w:tc>
          <w:tcPr>
            <w:tcW w:w="3529" w:type="dxa"/>
            <w:gridSpan w:val="2"/>
            <w:vAlign w:val="center"/>
          </w:tcPr>
          <w:p>
            <w:pPr>
              <w:pStyle w:val="16"/>
              <w:ind w:left="-262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5225" w:type="dxa"/>
            <w:gridSpan w:val="5"/>
            <w:vAlign w:val="center"/>
          </w:tcPr>
          <w:p>
            <w:pPr>
              <w:pStyle w:val="16"/>
            </w:pPr>
          </w:p>
        </w:tc>
        <w:tc>
          <w:tcPr>
            <w:tcW w:w="4976" w:type="dxa"/>
            <w:gridSpan w:val="4"/>
            <w:vAlign w:val="center"/>
          </w:tcPr>
          <w:p>
            <w:pPr>
              <w:pStyle w:val="16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3" w:type="dxa"/>
          <w:trHeight w:val="500" w:hRule="atLeast"/>
        </w:trPr>
        <w:tc>
          <w:tcPr>
            <w:tcW w:w="2818" w:type="dxa"/>
            <w:gridSpan w:val="2"/>
            <w:vAlign w:val="center"/>
          </w:tcPr>
          <w:p>
            <w:pPr>
              <w:pStyle w:val="16"/>
            </w:pPr>
          </w:p>
        </w:tc>
        <w:tc>
          <w:tcPr>
            <w:tcW w:w="4560" w:type="dxa"/>
            <w:gridSpan w:val="6"/>
            <w:vAlign w:val="center"/>
          </w:tcPr>
          <w:p>
            <w:pPr>
              <w:pStyle w:val="16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3" w:type="dxa"/>
          <w:trHeight w:val="522" w:hRule="atLeast"/>
        </w:trPr>
        <w:tc>
          <w:tcPr>
            <w:tcW w:w="2818" w:type="dxa"/>
            <w:gridSpan w:val="2"/>
            <w:vAlign w:val="center"/>
          </w:tcPr>
          <w:p>
            <w:pPr>
              <w:pStyle w:val="16"/>
            </w:pPr>
          </w:p>
        </w:tc>
        <w:tc>
          <w:tcPr>
            <w:tcW w:w="4560" w:type="dxa"/>
            <w:gridSpan w:val="6"/>
            <w:vAlign w:val="center"/>
          </w:tcPr>
          <w:p>
            <w:pPr>
              <w:pStyle w:val="16"/>
              <w:rPr>
                <w:lang w:val="en-US"/>
              </w:rPr>
            </w:pPr>
          </w:p>
        </w:tc>
      </w:tr>
    </w:tbl>
    <w:p>
      <w:pPr>
        <w:rPr>
          <w:lang w:val="en-US"/>
        </w:rPr>
      </w:pPr>
    </w:p>
    <w:p>
      <w:pPr>
        <w:pStyle w:val="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>
      <w:pPr>
        <w:shd w:val="clear" w:color="auto" w:fill="FFFFFF"/>
        <w:spacing w:before="100" w:beforeAutospacing="1" w:after="100" w:afterAutospacing="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Введен новый отчет «Отчет (ф. 0503128-НП)», на основе формы «Отчета о бюджетных обязательствах (ф. 0503128)». Представляют данный отчет получатели бюджетных средств, которые принимали и исполняли обязательства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</w:t>
      </w:r>
    </w:p>
    <w:p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cs="Tahoma"/>
          <w:sz w:val="24"/>
          <w:szCs w:val="24"/>
        </w:rPr>
        <w:t>Периодичность представления – ежемесячная</w:t>
      </w:r>
    </w:p>
    <w:p>
      <w:pPr>
        <w:pStyle w:val="3"/>
        <w:numPr>
          <w:ilvl w:val="0"/>
          <w:numId w:val="0"/>
        </w:numPr>
        <w:rPr>
          <w:b w:val="0"/>
          <w:szCs w:val="24"/>
        </w:rPr>
      </w:pPr>
      <w:r>
        <w:rPr>
          <w:b w:val="0"/>
          <w:szCs w:val="24"/>
        </w:rPr>
        <w:t xml:space="preserve">    Приказ Минфина России от 20.08.2019 № 131н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№ 191н»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Находится на регистрации в Минюсте России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7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настройки</w:t>
      </w:r>
    </w:p>
    <w:p>
      <w:pPr>
        <w:ind w:firstLine="0"/>
        <w:rPr>
          <w:b/>
          <w:sz w:val="28"/>
          <w:szCs w:val="28"/>
        </w:rPr>
      </w:pPr>
    </w:p>
    <w:p>
      <w:pPr>
        <w:widowControl w:val="0"/>
        <w:spacing w:line="300" w:lineRule="auto"/>
        <w:ind w:firstLine="709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Сборка формы 0503128-НП осуществляется в разрезе КБК, содержащие в соответствующих разрядах коды разделов, подразделов, целевых статей, содержащих в 4 – 5 разрядах кода целевой статьи коды основных мероприятий целевых статей расходов на реализацию национальных проектов (программ), а также комплексного плана модернизации и расширения магистральной инфраструктуры (региональных проектов в составе национальных проектов), видов расходов классификации расходов бюджетов Российской Федерации.</w:t>
      </w:r>
    </w:p>
    <w:p>
      <w:pPr>
        <w:widowControl w:val="0"/>
        <w:spacing w:line="300" w:lineRule="auto"/>
        <w:ind w:firstLine="709"/>
        <w:rPr>
          <w:rFonts w:cs="Tahoma"/>
          <w:sz w:val="24"/>
          <w:szCs w:val="24"/>
        </w:rPr>
      </w:pPr>
    </w:p>
    <w:p>
      <w:pPr>
        <w:widowControl w:val="0"/>
        <w:spacing w:line="300" w:lineRule="auto"/>
        <w:ind w:firstLine="709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Для корректной сборки необходимо настроить справочник КБК. Установить чекбокс в поле «Национальный проект», указав, что данный КБК относится к программе региональных проектов в составе национальных проектов.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Справочники – справочники – Рабочие КБК</w:t>
      </w: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drawing>
          <wp:inline distT="0" distB="0" distL="0" distR="0">
            <wp:extent cx="5124450" cy="3596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1763" cy="359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3"/>
        <w:rPr>
          <w:sz w:val="24"/>
        </w:rPr>
      </w:pPr>
      <w:r>
        <w:t>Рис. 1. Справочник КБК</w:t>
      </w: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pStyle w:val="27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Добавление и заполнение формы</w:t>
      </w: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Для заполнения формы необходимо открыть модуль Своды – Отчетные формы – формы ПБС.</w:t>
      </w: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drawing>
          <wp:inline distT="0" distB="0" distL="0" distR="0">
            <wp:extent cx="5019675" cy="3133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4388" cy="313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3"/>
      </w:pPr>
      <w:r>
        <w:t>Рис. 2. Главное окно БАРС-Бюджет</w:t>
      </w: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pStyle w:val="31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В открывшемся окне нажать клавишу </w:t>
      </w:r>
      <w:r>
        <w:rPr>
          <w:rStyle w:val="29"/>
          <w:rFonts w:cs="Times New Roman"/>
        </w:rPr>
        <w:t>&lt;</w:t>
      </w:r>
      <w:r>
        <w:rPr>
          <w:rStyle w:val="29"/>
          <w:rFonts w:cs="Times New Roman"/>
          <w:lang w:val="en-US"/>
        </w:rPr>
        <w:t>Insert</w:t>
      </w:r>
      <w:r>
        <w:rPr>
          <w:rStyle w:val="29"/>
          <w:rFonts w:cs="Times New Roman"/>
        </w:rPr>
        <w:t>&gt;</w:t>
      </w:r>
      <w:r>
        <w:rPr>
          <w:szCs w:val="24"/>
        </w:rPr>
        <w:t>, выбрать «Добавить бланки вручную», и выбрать требуемую форму:</w:t>
      </w:r>
    </w:p>
    <w:p>
      <w:pPr>
        <w:ind w:firstLine="0"/>
        <w:rPr>
          <w:b/>
          <w:sz w:val="24"/>
          <w:szCs w:val="24"/>
        </w:rPr>
      </w:pPr>
      <w:r>
        <w:drawing>
          <wp:inline distT="0" distB="0" distL="0" distR="0">
            <wp:extent cx="5229225" cy="32854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7565" cy="328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3"/>
      </w:pPr>
      <w:r>
        <w:t>Рис. 3. Добавление формы</w:t>
      </w:r>
    </w:p>
    <w:p>
      <w:pPr>
        <w:pStyle w:val="33"/>
      </w:pPr>
    </w:p>
    <w:p>
      <w:pPr>
        <w:pStyle w:val="31"/>
        <w:numPr>
          <w:ilvl w:val="0"/>
          <w:numId w:val="0"/>
        </w:numPr>
        <w:rPr>
          <w:szCs w:val="24"/>
        </w:rPr>
      </w:pPr>
      <w:r>
        <w:rPr>
          <w:szCs w:val="24"/>
        </w:rPr>
        <w:t>В окне появится выбранная форма, открыть ее для заполнения:</w:t>
      </w:r>
    </w:p>
    <w:p>
      <w:pPr>
        <w:pStyle w:val="31"/>
        <w:numPr>
          <w:ilvl w:val="0"/>
          <w:numId w:val="0"/>
        </w:numPr>
        <w:ind w:firstLine="624"/>
        <w:rPr>
          <w:sz w:val="20"/>
        </w:rPr>
      </w:pPr>
      <w:r>
        <w:rPr>
          <w:lang w:eastAsia="ru-RU"/>
        </w:rPr>
        <w:drawing>
          <wp:inline distT="0" distB="0" distL="0" distR="0">
            <wp:extent cx="3524250" cy="2153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15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3"/>
      </w:pPr>
      <w:r>
        <w:t>Рис. 4. Список отчетных форм</w:t>
      </w:r>
    </w:p>
    <w:p>
      <w:pPr>
        <w:pStyle w:val="33"/>
      </w:pPr>
    </w:p>
    <w:p>
      <w:pPr>
        <w:pStyle w:val="31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В форме нажать кнопку </w:t>
      </w:r>
      <w:r>
        <w:rPr>
          <w:szCs w:val="24"/>
          <w:lang w:eastAsia="ru-RU"/>
        </w:rPr>
        <w:drawing>
          <wp:inline distT="0" distB="0" distL="0" distR="0">
            <wp:extent cx="371475" cy="266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, и выбрать пункт «Заполнение формы» или «Заполнение формы из данных ф.0503127»</w:t>
      </w:r>
    </w:p>
    <w:p>
      <w:pPr>
        <w:pStyle w:val="31"/>
        <w:numPr>
          <w:ilvl w:val="0"/>
          <w:numId w:val="0"/>
        </w:numPr>
        <w:rPr>
          <w:sz w:val="20"/>
        </w:rPr>
      </w:pPr>
      <w:r>
        <w:rPr>
          <w:lang w:eastAsia="ru-RU"/>
        </w:rPr>
        <w:drawing>
          <wp:inline distT="0" distB="0" distL="0" distR="0">
            <wp:extent cx="4143375" cy="1485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3"/>
      </w:pPr>
      <w:r>
        <w:t>Рис. 5. Заполнение формы</w:t>
      </w:r>
    </w:p>
    <w:p>
      <w:pPr>
        <w:pStyle w:val="31"/>
        <w:numPr>
          <w:ilvl w:val="0"/>
          <w:numId w:val="0"/>
        </w:numPr>
        <w:rPr>
          <w:sz w:val="20"/>
        </w:rPr>
      </w:pPr>
    </w:p>
    <w:p>
      <w:pPr>
        <w:pStyle w:val="31"/>
        <w:numPr>
          <w:ilvl w:val="0"/>
          <w:numId w:val="0"/>
        </w:numPr>
      </w:pPr>
      <w:r>
        <w:rPr>
          <w:szCs w:val="24"/>
        </w:rPr>
        <w:t>Заполнить окно «Функции обработки отчетов»:</w:t>
      </w:r>
    </w:p>
    <w:p>
      <w:pPr>
        <w:pStyle w:val="33"/>
      </w:pPr>
      <w:r>
        <w:rPr>
          <w:lang w:eastAsia="ru-RU"/>
        </w:rPr>
        <w:drawing>
          <wp:inline distT="0" distB="0" distL="0" distR="0">
            <wp:extent cx="4772025" cy="25088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0473" cy="250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3"/>
        <w:rPr>
          <w:b/>
          <w:sz w:val="24"/>
        </w:rPr>
      </w:pPr>
      <w:r>
        <w:t>Рис. 5. Параметры сборки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240"/>
    <w:multiLevelType w:val="multilevel"/>
    <w:tmpl w:val="0D966240"/>
    <w:lvl w:ilvl="0" w:tentative="0">
      <w:start w:val="1"/>
      <w:numFmt w:val="decimal"/>
      <w:pStyle w:val="2"/>
      <w:suff w:val="space"/>
      <w:lvlText w:val="%1."/>
      <w:lvlJc w:val="left"/>
      <w:pPr>
        <w:ind w:left="0" w:firstLine="454"/>
      </w:pPr>
      <w:rPr>
        <w:rFonts w:hint="default" w:ascii="Tahoma" w:hAnsi="Tahoma" w:cs="Tahoma"/>
      </w:rPr>
    </w:lvl>
    <w:lvl w:ilvl="1" w:tentative="0">
      <w:start w:val="1"/>
      <w:numFmt w:val="decimal"/>
      <w:pStyle w:val="3"/>
      <w:suff w:val="space"/>
      <w:lvlText w:val="%1.%2."/>
      <w:lvlJc w:val="left"/>
      <w:pPr>
        <w:ind w:left="-198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2" w:tentative="0">
      <w:start w:val="1"/>
      <w:numFmt w:val="decimal"/>
      <w:pStyle w:val="4"/>
      <w:suff w:val="space"/>
      <w:lvlText w:val="%1.%2.%3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3" w:tentative="0">
      <w:start w:val="1"/>
      <w:numFmt w:val="decimal"/>
      <w:pStyle w:val="5"/>
      <w:suff w:val="space"/>
      <w:lvlText w:val="%1.%2.%3.%4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4" w:tentative="0">
      <w:start w:val="1"/>
      <w:numFmt w:val="decimal"/>
      <w:pStyle w:val="6"/>
      <w:suff w:val="space"/>
      <w:lvlText w:val="%1.%2.%3.%4.%5"/>
      <w:lvlJc w:val="left"/>
      <w:pPr>
        <w:ind w:left="0" w:firstLine="454"/>
      </w:pPr>
    </w:lvl>
    <w:lvl w:ilvl="5" w:tentative="0">
      <w:start w:val="1"/>
      <w:numFmt w:val="decimal"/>
      <w:lvlText w:val="%1.%2.%3.%4.%5.%6"/>
      <w:lvlJc w:val="left"/>
      <w:pPr>
        <w:tabs>
          <w:tab w:val="left" w:pos="1894"/>
        </w:tabs>
        <w:ind w:left="0" w:firstLine="454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591A7590"/>
    <w:multiLevelType w:val="multilevel"/>
    <w:tmpl w:val="591A759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70092"/>
    <w:multiLevelType w:val="singleLevel"/>
    <w:tmpl w:val="60C70092"/>
    <w:lvl w:ilvl="0" w:tentative="0">
      <w:start w:val="1"/>
      <w:numFmt w:val="decimal"/>
      <w:pStyle w:val="31"/>
      <w:lvlText w:val="%1)"/>
      <w:lvlJc w:val="left"/>
      <w:pPr>
        <w:tabs>
          <w:tab w:val="left" w:pos="987"/>
        </w:tabs>
        <w:ind w:left="0" w:firstLine="62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8A"/>
    <w:rsid w:val="000A6394"/>
    <w:rsid w:val="00130DA6"/>
    <w:rsid w:val="001538C2"/>
    <w:rsid w:val="002414D1"/>
    <w:rsid w:val="00287084"/>
    <w:rsid w:val="003E0CCE"/>
    <w:rsid w:val="00465E51"/>
    <w:rsid w:val="004D7BDC"/>
    <w:rsid w:val="00652418"/>
    <w:rsid w:val="00704E21"/>
    <w:rsid w:val="007C4957"/>
    <w:rsid w:val="008017E4"/>
    <w:rsid w:val="00832544"/>
    <w:rsid w:val="00A72731"/>
    <w:rsid w:val="00B055D6"/>
    <w:rsid w:val="00B45E18"/>
    <w:rsid w:val="00B9205E"/>
    <w:rsid w:val="00BB0B3A"/>
    <w:rsid w:val="00BC5B74"/>
    <w:rsid w:val="00D95F8A"/>
    <w:rsid w:val="00F30548"/>
    <w:rsid w:val="00FA4028"/>
    <w:rsid w:val="543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ind w:firstLine="340"/>
      <w:jc w:val="both"/>
    </w:pPr>
    <w:rPr>
      <w:rFonts w:ascii="Tahoma" w:hAnsi="Tahoma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next w:val="3"/>
    <w:link w:val="22"/>
    <w:qFormat/>
    <w:uiPriority w:val="0"/>
    <w:pPr>
      <w:keepNext/>
      <w:pageBreakBefore/>
      <w:numPr>
        <w:ilvl w:val="0"/>
        <w:numId w:val="1"/>
      </w:numPr>
      <w:suppressAutoHyphens/>
      <w:spacing w:after="360" w:line="288" w:lineRule="auto"/>
      <w:ind w:firstLine="0"/>
      <w:jc w:val="center"/>
      <w:outlineLvl w:val="0"/>
    </w:pPr>
    <w:rPr>
      <w:rFonts w:ascii="Tahoma" w:hAnsi="Tahoma" w:eastAsia="Times New Roman" w:cs="Times New Roman"/>
      <w:b/>
      <w:caps/>
      <w:sz w:val="24"/>
      <w:szCs w:val="20"/>
      <w:lang w:val="ru-RU" w:eastAsia="en-US" w:bidi="ar-SA"/>
    </w:rPr>
  </w:style>
  <w:style w:type="paragraph" w:styleId="3">
    <w:name w:val="heading 2"/>
    <w:next w:val="4"/>
    <w:link w:val="23"/>
    <w:unhideWhenUsed/>
    <w:qFormat/>
    <w:uiPriority w:val="0"/>
    <w:pPr>
      <w:keepNext/>
      <w:keepLines/>
      <w:numPr>
        <w:ilvl w:val="1"/>
        <w:numId w:val="1"/>
      </w:numPr>
      <w:snapToGrid w:val="0"/>
      <w:spacing w:before="480" w:after="360" w:line="288" w:lineRule="auto"/>
      <w:ind w:left="0"/>
      <w:jc w:val="both"/>
      <w:outlineLvl w:val="1"/>
    </w:pPr>
    <w:rPr>
      <w:rFonts w:ascii="Tahoma" w:hAnsi="Tahoma" w:eastAsia="Times New Roman" w:cs="Times New Roman"/>
      <w:b/>
      <w:sz w:val="24"/>
      <w:szCs w:val="20"/>
      <w:lang w:val="ru-RU" w:eastAsia="en-US" w:bidi="ar-SA"/>
    </w:rPr>
  </w:style>
  <w:style w:type="paragraph" w:styleId="4">
    <w:name w:val="heading 3"/>
    <w:basedOn w:val="3"/>
    <w:next w:val="1"/>
    <w:link w:val="24"/>
    <w:semiHidden/>
    <w:unhideWhenUsed/>
    <w:qFormat/>
    <w:uiPriority w:val="0"/>
    <w:pPr>
      <w:numPr>
        <w:ilvl w:val="2"/>
      </w:numPr>
      <w:spacing w:before="360"/>
      <w:outlineLvl w:val="2"/>
    </w:pPr>
  </w:style>
  <w:style w:type="paragraph" w:styleId="5">
    <w:name w:val="heading 4"/>
    <w:basedOn w:val="3"/>
    <w:next w:val="1"/>
    <w:link w:val="25"/>
    <w:semiHidden/>
    <w:unhideWhenUsed/>
    <w:qFormat/>
    <w:uiPriority w:val="0"/>
    <w:pPr>
      <w:numPr>
        <w:ilvl w:val="3"/>
      </w:numPr>
      <w:tabs>
        <w:tab w:val="left" w:pos="720"/>
      </w:tabs>
      <w:spacing w:before="360"/>
      <w:outlineLvl w:val="3"/>
    </w:pPr>
    <w:rPr>
      <w:b w:val="0"/>
    </w:rPr>
  </w:style>
  <w:style w:type="paragraph" w:styleId="6">
    <w:name w:val="heading 5"/>
    <w:basedOn w:val="3"/>
    <w:next w:val="1"/>
    <w:link w:val="26"/>
    <w:semiHidden/>
    <w:unhideWhenUsed/>
    <w:qFormat/>
    <w:uiPriority w:val="0"/>
    <w:pPr>
      <w:numPr>
        <w:ilvl w:val="4"/>
      </w:numPr>
      <w:tabs>
        <w:tab w:val="left" w:pos="1985"/>
      </w:tabs>
      <w:spacing w:before="240" w:after="60"/>
      <w:outlineLvl w:val="4"/>
    </w:pPr>
    <w:rPr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1"/>
    <w:semiHidden/>
    <w:unhideWhenUsed/>
    <w:uiPriority w:val="99"/>
    <w:rPr>
      <w:rFonts w:cs="Tahoma"/>
      <w:sz w:val="16"/>
      <w:szCs w:val="16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Основной шрифт Знак"/>
    <w:basedOn w:val="9"/>
    <w:link w:val="13"/>
    <w:locked/>
    <w:uiPriority w:val="99"/>
    <w:rPr>
      <w:rFonts w:ascii="Tahoma" w:hAnsi="Tahoma" w:cs="Tahoma"/>
      <w:szCs w:val="24"/>
    </w:rPr>
  </w:style>
  <w:style w:type="paragraph" w:customStyle="1" w:styleId="13">
    <w:name w:val="Основной шрифт"/>
    <w:link w:val="12"/>
    <w:qFormat/>
    <w:uiPriority w:val="99"/>
    <w:pPr>
      <w:spacing w:after="0" w:line="240" w:lineRule="auto"/>
      <w:ind w:firstLine="340"/>
      <w:jc w:val="both"/>
    </w:pPr>
    <w:rPr>
      <w:rFonts w:ascii="Tahoma" w:hAnsi="Tahoma" w:cs="Tahoma" w:eastAsiaTheme="minorHAnsi"/>
      <w:sz w:val="22"/>
      <w:szCs w:val="24"/>
      <w:lang w:val="ru-RU" w:eastAsia="en-US" w:bidi="ar-SA"/>
    </w:rPr>
  </w:style>
  <w:style w:type="paragraph" w:customStyle="1" w:styleId="14">
    <w:name w:val="Наименование документа"/>
    <w:basedOn w:val="13"/>
    <w:next w:val="13"/>
    <w:uiPriority w:val="0"/>
    <w:pPr>
      <w:spacing w:before="720"/>
      <w:ind w:firstLine="0"/>
      <w:jc w:val="center"/>
    </w:pPr>
    <w:rPr>
      <w:caps/>
      <w:sz w:val="32"/>
      <w:szCs w:val="32"/>
    </w:rPr>
  </w:style>
  <w:style w:type="paragraph" w:customStyle="1" w:styleId="15">
    <w:name w:val="Пометка о конфиденциальности"/>
    <w:basedOn w:val="13"/>
    <w:next w:val="13"/>
    <w:uiPriority w:val="0"/>
    <w:pPr>
      <w:ind w:firstLine="0"/>
      <w:jc w:val="center"/>
    </w:pPr>
    <w:rPr>
      <w:b/>
      <w:sz w:val="24"/>
    </w:rPr>
  </w:style>
  <w:style w:type="paragraph" w:customStyle="1" w:styleId="16">
    <w:name w:val="Надпись ТЛ и ЛУ"/>
    <w:basedOn w:val="13"/>
    <w:next w:val="13"/>
    <w:link w:val="17"/>
    <w:uiPriority w:val="0"/>
    <w:pPr>
      <w:ind w:firstLine="0"/>
      <w:jc w:val="center"/>
    </w:pPr>
    <w:rPr>
      <w:sz w:val="32"/>
      <w:szCs w:val="36"/>
    </w:rPr>
  </w:style>
  <w:style w:type="character" w:customStyle="1" w:styleId="17">
    <w:name w:val="Надпись ТЛ и ЛУ Знак Знак"/>
    <w:basedOn w:val="9"/>
    <w:link w:val="16"/>
    <w:locked/>
    <w:uiPriority w:val="0"/>
    <w:rPr>
      <w:rFonts w:ascii="Tahoma" w:hAnsi="Tahoma" w:cs="Tahoma"/>
      <w:sz w:val="32"/>
      <w:szCs w:val="36"/>
    </w:rPr>
  </w:style>
  <w:style w:type="paragraph" w:customStyle="1" w:styleId="18">
    <w:name w:val="Название Модуля/Подсистемы"/>
    <w:basedOn w:val="13"/>
    <w:next w:val="13"/>
    <w:link w:val="19"/>
    <w:uiPriority w:val="0"/>
    <w:pPr>
      <w:ind w:firstLine="0"/>
      <w:jc w:val="center"/>
    </w:pPr>
    <w:rPr>
      <w:caps/>
      <w:sz w:val="52"/>
      <w:szCs w:val="48"/>
    </w:rPr>
  </w:style>
  <w:style w:type="character" w:customStyle="1" w:styleId="19">
    <w:name w:val="Название Модуля/Подсистемы Знак Знак"/>
    <w:basedOn w:val="9"/>
    <w:link w:val="18"/>
    <w:locked/>
    <w:uiPriority w:val="0"/>
    <w:rPr>
      <w:rFonts w:ascii="Tahoma" w:hAnsi="Tahoma" w:cs="Tahoma"/>
      <w:caps/>
      <w:sz w:val="52"/>
      <w:szCs w:val="48"/>
    </w:rPr>
  </w:style>
  <w:style w:type="paragraph" w:customStyle="1" w:styleId="20">
    <w:name w:val="Обозначение документа"/>
    <w:basedOn w:val="16"/>
    <w:uiPriority w:val="0"/>
    <w:rPr>
      <w:sz w:val="28"/>
      <w:lang w:val="en-US"/>
    </w:rPr>
  </w:style>
  <w:style w:type="character" w:customStyle="1" w:styleId="21">
    <w:name w:val="Текст выноски Знак"/>
    <w:basedOn w:val="9"/>
    <w:link w:val="7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2">
    <w:name w:val="Заголовок 1 Знак"/>
    <w:basedOn w:val="9"/>
    <w:link w:val="2"/>
    <w:uiPriority w:val="0"/>
    <w:rPr>
      <w:rFonts w:ascii="Tahoma" w:hAnsi="Tahoma" w:eastAsia="Times New Roman" w:cs="Times New Roman"/>
      <w:b/>
      <w:caps/>
      <w:sz w:val="24"/>
      <w:szCs w:val="20"/>
    </w:rPr>
  </w:style>
  <w:style w:type="character" w:customStyle="1" w:styleId="23">
    <w:name w:val="Заголовок 2 Знак"/>
    <w:basedOn w:val="9"/>
    <w:link w:val="3"/>
    <w:uiPriority w:val="0"/>
    <w:rPr>
      <w:rFonts w:ascii="Tahoma" w:hAnsi="Tahoma" w:eastAsia="Times New Roman" w:cs="Times New Roman"/>
      <w:b/>
      <w:sz w:val="24"/>
      <w:szCs w:val="20"/>
    </w:rPr>
  </w:style>
  <w:style w:type="character" w:customStyle="1" w:styleId="24">
    <w:name w:val="Заголовок 3 Знак"/>
    <w:basedOn w:val="9"/>
    <w:link w:val="4"/>
    <w:semiHidden/>
    <w:uiPriority w:val="0"/>
    <w:rPr>
      <w:rFonts w:ascii="Tahoma" w:hAnsi="Tahoma" w:eastAsia="Times New Roman" w:cs="Times New Roman"/>
      <w:b/>
      <w:sz w:val="24"/>
      <w:szCs w:val="20"/>
    </w:rPr>
  </w:style>
  <w:style w:type="character" w:customStyle="1" w:styleId="25">
    <w:name w:val="Заголовок 4 Знак"/>
    <w:basedOn w:val="9"/>
    <w:link w:val="5"/>
    <w:semiHidden/>
    <w:uiPriority w:val="0"/>
    <w:rPr>
      <w:rFonts w:ascii="Tahoma" w:hAnsi="Tahoma" w:eastAsia="Times New Roman" w:cs="Times New Roman"/>
      <w:sz w:val="24"/>
      <w:szCs w:val="20"/>
    </w:rPr>
  </w:style>
  <w:style w:type="character" w:customStyle="1" w:styleId="26">
    <w:name w:val="Заголовок 5 Знак"/>
    <w:basedOn w:val="9"/>
    <w:link w:val="6"/>
    <w:semiHidden/>
    <w:uiPriority w:val="0"/>
    <w:rPr>
      <w:rFonts w:ascii="Tahoma" w:hAnsi="Tahoma" w:eastAsia="Times New Roman" w:cs="Times New Roman"/>
      <w:b/>
      <w:sz w:val="24"/>
      <w:szCs w:val="24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paragraph" w:customStyle="1" w:styleId="28">
    <w:name w:val="copyright-info"/>
    <w:basedOn w:val="1"/>
    <w:uiPriority w:val="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9">
    <w:name w:val="Горячая клавиша (пункт меню) Знак Знак"/>
    <w:basedOn w:val="9"/>
    <w:link w:val="30"/>
    <w:locked/>
    <w:uiPriority w:val="0"/>
    <w:rPr>
      <w:rFonts w:ascii="Tahoma" w:hAnsi="Tahoma" w:cs="Tahoma"/>
      <w:i/>
      <w:szCs w:val="24"/>
    </w:rPr>
  </w:style>
  <w:style w:type="paragraph" w:customStyle="1" w:styleId="30">
    <w:name w:val="Горячая клавиша (пункт меню)"/>
    <w:basedOn w:val="1"/>
    <w:next w:val="1"/>
    <w:link w:val="29"/>
    <w:uiPriority w:val="0"/>
    <w:rPr>
      <w:rFonts w:cs="Tahoma" w:eastAsiaTheme="minorHAnsi"/>
      <w:i/>
      <w:sz w:val="22"/>
      <w:szCs w:val="24"/>
      <w:lang w:eastAsia="en-US"/>
    </w:rPr>
  </w:style>
  <w:style w:type="paragraph" w:customStyle="1" w:styleId="31">
    <w:name w:val="Список_1)"/>
    <w:basedOn w:val="1"/>
    <w:uiPriority w:val="0"/>
    <w:pPr>
      <w:numPr>
        <w:ilvl w:val="0"/>
        <w:numId w:val="2"/>
      </w:numPr>
      <w:tabs>
        <w:tab w:val="left" w:pos="1134"/>
      </w:tabs>
      <w:spacing w:before="120" w:line="288" w:lineRule="auto"/>
    </w:pPr>
    <w:rPr>
      <w:spacing w:val="2"/>
      <w:kern w:val="24"/>
      <w:sz w:val="24"/>
      <w:lang w:eastAsia="en-US"/>
    </w:rPr>
  </w:style>
  <w:style w:type="character" w:customStyle="1" w:styleId="32">
    <w:name w:val="Название рисунка Char"/>
    <w:basedOn w:val="9"/>
    <w:link w:val="33"/>
    <w:locked/>
    <w:uiPriority w:val="99"/>
    <w:rPr>
      <w:rFonts w:ascii="Tahoma" w:hAnsi="Tahoma" w:cs="Tahoma"/>
      <w:i/>
      <w:szCs w:val="24"/>
    </w:rPr>
  </w:style>
  <w:style w:type="paragraph" w:customStyle="1" w:styleId="33">
    <w:name w:val="Название рисунка"/>
    <w:basedOn w:val="1"/>
    <w:link w:val="32"/>
    <w:qFormat/>
    <w:uiPriority w:val="99"/>
    <w:pPr>
      <w:spacing w:before="160" w:after="160"/>
      <w:ind w:firstLine="0"/>
      <w:jc w:val="center"/>
    </w:pPr>
    <w:rPr>
      <w:rFonts w:cs="Tahoma" w:eastAsiaTheme="minorHAnsi"/>
      <w:i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344</Words>
  <Characters>1965</Characters>
  <Lines>16</Lines>
  <Paragraphs>4</Paragraphs>
  <TotalTime>41</TotalTime>
  <ScaleCrop>false</ScaleCrop>
  <LinksUpToDate>false</LinksUpToDate>
  <CharactersWithSpaces>2305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2019-09-26T13:39:00Z</dcterms:created>
  <dc:creator>Эльвира Шарафутдинова</dc:creator>
  <cp:lastModifiedBy>pugac</cp:lastModifiedBy>
  <dcterms:modified xsi:type="dcterms:W3CDTF">2019-10-01T11:42:35Z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